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>
          <w:sz w:val="28"/>
          <w:szCs w:val="28"/>
        </w:rPr>
      </w:pPr>
      <w:bookmarkStart w:colFirst="0" w:colLast="0" w:name="_5kweckm3y06u" w:id="0"/>
      <w:bookmarkEnd w:id="0"/>
      <w:r w:rsidDel="00000000" w:rsidR="00000000" w:rsidRPr="00000000">
        <w:rPr>
          <w:b w:val="0"/>
          <w:bCs w:val="0"/>
          <w:sz w:val="28"/>
          <w:szCs w:val="28"/>
          <w:rtl w:val="0"/>
        </w:rPr>
        <w:t xml:space="preserve">🛠️ </w:t>
      </w:r>
      <w:r w:rsidDel="00000000" w:rsidR="00000000" w:rsidRPr="00000000">
        <w:rPr>
          <w:sz w:val="28"/>
          <w:szCs w:val="28"/>
          <w:rtl w:val="0"/>
        </w:rPr>
        <w:t xml:space="preserve">GUIA PRÁTICO: Instauração de Procedimentos Acusatórios</w:t>
      </w:r>
    </w:p>
    <w:p w:rsidR="00000000" w:rsidDel="00000000" w:rsidP="00000000" w:rsidRDefault="00000000" w:rsidRPr="00000000" w14:paraId="00000002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firstLine="720"/>
        <w:jc w:val="both"/>
        <w:rPr>
          <w:color w:val="1f1f1f"/>
          <w:sz w:val="24"/>
          <w:szCs w:val="24"/>
          <w:highlight w:val="white"/>
        </w:rPr>
      </w:pPr>
      <w:r w:rsidDel="00000000" w:rsidR="00000000" w:rsidRPr="00000000">
        <w:rPr>
          <w:color w:val="1f1f1f"/>
          <w:sz w:val="24"/>
          <w:szCs w:val="24"/>
          <w:highlight w:val="white"/>
          <w:rtl w:val="0"/>
        </w:rPr>
        <w:t xml:space="preserve">Este guia detalha os passos para instaurar procedimentos acusatórios (PAD, PAR, PAD Sumário, SIND, etc.) no sistema ePAD.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firstLine="720"/>
        <w:jc w:val="both"/>
        <w:rPr>
          <w:color w:val="1f1f1f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firstLine="720"/>
        <w:jc w:val="both"/>
        <w:rPr>
          <w:b w:val="1"/>
          <w:bCs w:val="1"/>
          <w:color w:val="1f1f1f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color w:val="1f1f1f"/>
          <w:sz w:val="24"/>
          <w:szCs w:val="24"/>
          <w:highlight w:val="white"/>
          <w:rtl w:val="0"/>
        </w:rPr>
        <w:t xml:space="preserve">I. Preparação da Instauração</w:t>
      </w:r>
    </w:p>
    <w:p w:rsidR="00000000" w:rsidDel="00000000" w:rsidP="00000000" w:rsidRDefault="00000000" w:rsidRPr="00000000" w14:paraId="00000006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firstLine="720"/>
        <w:jc w:val="both"/>
        <w:rPr>
          <w:b w:val="1"/>
          <w:bCs w:val="1"/>
          <w:color w:val="1f1f1f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firstLine="720"/>
        <w:jc w:val="both"/>
        <w:rPr>
          <w:color w:val="1f1f1f"/>
          <w:sz w:val="24"/>
          <w:szCs w:val="24"/>
          <w:highlight w:val="white"/>
        </w:rPr>
      </w:pPr>
      <w:r w:rsidDel="00000000" w:rsidR="00000000" w:rsidRPr="00000000">
        <w:rPr>
          <w:color w:val="1f1f1f"/>
          <w:sz w:val="24"/>
          <w:szCs w:val="24"/>
          <w:highlight w:val="white"/>
          <w:rtl w:val="0"/>
        </w:rPr>
        <w:t xml:space="preserve">Para iniciar a instauração de um procedimento acusatório, o agente público com perfil "Autoridade" deve seguir os passos abaixo: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 w:before="240" w:lineRule="auto"/>
        <w:ind w:left="720" w:hanging="36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color w:val="1f1f1f"/>
          <w:sz w:val="24"/>
          <w:szCs w:val="24"/>
          <w:highlight w:val="white"/>
          <w:rtl w:val="0"/>
        </w:rPr>
        <w:t xml:space="preserve">Acesso à Tela de Recomendações:</w:t>
      </w:r>
      <w:r w:rsidDel="00000000" w:rsidR="00000000" w:rsidRPr="00000000">
        <w:rPr>
          <w:color w:val="1f1f1f"/>
          <w:sz w:val="24"/>
          <w:szCs w:val="24"/>
          <w:highlight w:val="white"/>
          <w:rtl w:val="0"/>
        </w:rPr>
        <w:t xml:space="preserve"> Na tela de "Recomendações", selecione uma ou mais condutas da lista de condutas identificadas em análises de admissibilidade concluídas ou em procedimentos investigativos concluídos.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 w:before="0" w:beforeAutospacing="0" w:lineRule="auto"/>
        <w:ind w:left="720" w:hanging="36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color w:val="1f1f1f"/>
          <w:sz w:val="24"/>
          <w:szCs w:val="24"/>
          <w:highlight w:val="white"/>
          <w:rtl w:val="0"/>
        </w:rPr>
        <w:t xml:space="preserve">Decisão da Autoridade:</w:t>
      </w:r>
      <w:r w:rsidDel="00000000" w:rsidR="00000000" w:rsidRPr="00000000">
        <w:rPr>
          <w:color w:val="1f1f1f"/>
          <w:sz w:val="24"/>
          <w:szCs w:val="24"/>
          <w:highlight w:val="white"/>
          <w:rtl w:val="0"/>
        </w:rPr>
        <w:t xml:space="preserve"> Clique no botão “Decisão da Autoridade”.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 w:before="0" w:beforeAutospacing="0" w:lineRule="auto"/>
        <w:ind w:left="720" w:hanging="36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color w:val="1f1f1f"/>
          <w:sz w:val="24"/>
          <w:szCs w:val="24"/>
          <w:highlight w:val="white"/>
          <w:rtl w:val="0"/>
        </w:rPr>
        <w:t xml:space="preserve">Preparar Instauração:</w:t>
      </w:r>
      <w:r w:rsidDel="00000000" w:rsidR="00000000" w:rsidRPr="00000000">
        <w:rPr>
          <w:color w:val="1f1f1f"/>
          <w:sz w:val="24"/>
          <w:szCs w:val="24"/>
          <w:highlight w:val="white"/>
          <w:rtl w:val="0"/>
        </w:rPr>
        <w:t xml:space="preserve"> Selecione a opção “Preparar instauração de procedimento acusatório – Agente Público”.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 w:before="0" w:beforeAutospacing="0" w:lineRule="auto"/>
        <w:ind w:left="720" w:hanging="36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color w:val="1f1f1f"/>
          <w:sz w:val="24"/>
          <w:szCs w:val="24"/>
          <w:highlight w:val="white"/>
          <w:rtl w:val="0"/>
        </w:rPr>
        <w:t xml:space="preserve">Preenchimento da Tela “Editar Processo/Procedimento”:</w:t>
      </w:r>
      <w:r w:rsidDel="00000000" w:rsidR="00000000" w:rsidRPr="00000000">
        <w:rPr>
          <w:color w:val="1f1f1f"/>
          <w:sz w:val="24"/>
          <w:szCs w:val="24"/>
          <w:highlight w:val="white"/>
          <w:rtl w:val="0"/>
        </w:rPr>
        <w:t xml:space="preserve"> O sistema ePAD apresentará a tela “Editar Processo/Procedimento” do módulo de "Procedimentos". Nesta tela, o usuário com perfil “Autoridade” deve preencher as seguintes informações: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before="0" w:beforeAutospacing="0" w:lineRule="auto"/>
        <w:ind w:left="1440" w:hanging="360"/>
        <w:jc w:val="both"/>
        <w:rPr>
          <w:rFonts w:ascii="Arial" w:cs="Arial" w:eastAsia="Arial" w:hAnsi="Arial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color w:val="1f1f1f"/>
          <w:sz w:val="24"/>
          <w:szCs w:val="24"/>
          <w:highlight w:val="white"/>
          <w:rtl w:val="0"/>
        </w:rPr>
        <w:t xml:space="preserve">Seção “Processo/Procedimento”:</w:t>
      </w:r>
    </w:p>
    <w:p w:rsidR="00000000" w:rsidDel="00000000" w:rsidP="00000000" w:rsidRDefault="00000000" w:rsidRPr="00000000" w14:paraId="0000000D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before="0" w:beforeAutospacing="0" w:lineRule="auto"/>
        <w:ind w:left="2160" w:hanging="36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color w:val="1f1f1f"/>
          <w:sz w:val="24"/>
          <w:szCs w:val="24"/>
          <w:highlight w:val="white"/>
          <w:rtl w:val="0"/>
        </w:rPr>
        <w:t xml:space="preserve">Tipo de Procedimento:</w:t>
      </w:r>
      <w:r w:rsidDel="00000000" w:rsidR="00000000" w:rsidRPr="00000000">
        <w:rPr>
          <w:color w:val="1f1f1f"/>
          <w:sz w:val="24"/>
          <w:szCs w:val="24"/>
          <w:highlight w:val="white"/>
          <w:rtl w:val="0"/>
        </w:rPr>
        <w:t xml:space="preserve"> Selecione o tipo de procedimento desejado (Processo Administrativo Disciplinar, Processo Administrativo de Responsabilização, Procedimento Administrativo Disciplinar Sumário ou Sindicância Acusatória).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before="0" w:beforeAutospacing="0" w:lineRule="auto"/>
        <w:ind w:left="1440" w:hanging="360"/>
        <w:jc w:val="both"/>
        <w:rPr>
          <w:rFonts w:ascii="Arial" w:cs="Arial" w:eastAsia="Arial" w:hAnsi="Arial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color w:val="1f1f1f"/>
          <w:sz w:val="24"/>
          <w:szCs w:val="24"/>
          <w:highlight w:val="white"/>
          <w:rtl w:val="0"/>
        </w:rPr>
        <w:t xml:space="preserve">Seção “Comissão/Responsáveis”:</w:t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before="0" w:beforeAutospacing="0" w:lineRule="auto"/>
        <w:ind w:left="2160" w:hanging="36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color w:val="1f1f1f"/>
          <w:sz w:val="24"/>
          <w:szCs w:val="24"/>
          <w:highlight w:val="white"/>
          <w:rtl w:val="0"/>
        </w:rPr>
        <w:t xml:space="preserve">Condução da Apuração:</w:t>
      </w:r>
      <w:r w:rsidDel="00000000" w:rsidR="00000000" w:rsidRPr="00000000">
        <w:rPr>
          <w:color w:val="1f1f1f"/>
          <w:sz w:val="24"/>
          <w:szCs w:val="24"/>
          <w:highlight w:val="white"/>
          <w:rtl w:val="0"/>
        </w:rPr>
        <w:t xml:space="preserve"> Informe quem conduzirá a apuração.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before="0" w:beforeAutospacing="0" w:lineRule="auto"/>
        <w:ind w:left="2160" w:hanging="36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color w:val="1f1f1f"/>
          <w:sz w:val="24"/>
          <w:szCs w:val="24"/>
          <w:highlight w:val="white"/>
          <w:rtl w:val="0"/>
        </w:rPr>
        <w:t xml:space="preserve">Autoridade Instauradora:</w:t>
      </w:r>
      <w:r w:rsidDel="00000000" w:rsidR="00000000" w:rsidRPr="00000000">
        <w:rPr>
          <w:color w:val="1f1f1f"/>
          <w:sz w:val="24"/>
          <w:szCs w:val="24"/>
          <w:highlight w:val="white"/>
          <w:rtl w:val="0"/>
        </w:rPr>
        <w:t xml:space="preserve"> Indique a autoridade instauradora.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 w:before="0" w:beforeAutospacing="0" w:lineRule="auto"/>
        <w:ind w:left="720" w:hanging="36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color w:val="1f1f1f"/>
          <w:sz w:val="24"/>
          <w:szCs w:val="24"/>
          <w:highlight w:val="white"/>
          <w:rtl w:val="0"/>
        </w:rPr>
        <w:t xml:space="preserve">Portaria de Instauração:</w:t>
      </w:r>
      <w:r w:rsidDel="00000000" w:rsidR="00000000" w:rsidRPr="00000000">
        <w:rPr>
          <w:color w:val="1f1f1f"/>
          <w:sz w:val="24"/>
          <w:szCs w:val="24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 w:before="0" w:beforeAutospacing="0" w:lineRule="auto"/>
        <w:ind w:left="1440" w:hanging="36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color w:val="1f1f1f"/>
          <w:sz w:val="24"/>
          <w:szCs w:val="24"/>
          <w:highlight w:val="white"/>
          <w:rtl w:val="0"/>
        </w:rPr>
        <w:t xml:space="preserve">no e-PAD</w:t>
      </w:r>
      <w:r w:rsidDel="00000000" w:rsidR="00000000" w:rsidRPr="00000000">
        <w:rPr>
          <w:color w:val="1f1f1f"/>
          <w:sz w:val="24"/>
          <w:szCs w:val="24"/>
          <w:highlight w:val="white"/>
          <w:rtl w:val="0"/>
        </w:rPr>
        <w:t xml:space="preserve"> -veja o </w:t>
      </w:r>
      <w:hyperlink r:id="rId6">
        <w:r w:rsidDel="00000000" w:rsidR="00000000" w:rsidRPr="00000000">
          <w:rPr>
            <w:b w:val="1"/>
            <w:bCs w:val="1"/>
            <w:color w:val="1155cc"/>
            <w:sz w:val="24"/>
            <w:szCs w:val="24"/>
            <w:highlight w:val="white"/>
            <w:u w:val="single"/>
            <w:rtl w:val="0"/>
          </w:rPr>
          <w:t xml:space="preserve">GUIA PRÁTICO:  Inclusão de ANEXOS e PEÇAS</w:t>
        </w:r>
      </w:hyperlink>
      <w:r w:rsidDel="00000000" w:rsidR="00000000" w:rsidRPr="00000000">
        <w:rPr>
          <w:color w:val="1f1f1f"/>
          <w:sz w:val="24"/>
          <w:szCs w:val="24"/>
          <w:highlight w:val="white"/>
          <w:rtl w:val="0"/>
        </w:rPr>
        <w:t xml:space="preserve">).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 w:before="0" w:beforeAutospacing="0" w:line="276" w:lineRule="auto"/>
        <w:ind w:left="1440" w:right="0" w:hanging="36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color w:val="1f1f1f"/>
          <w:sz w:val="24"/>
          <w:szCs w:val="24"/>
          <w:highlight w:val="white"/>
          <w:rtl w:val="0"/>
        </w:rPr>
        <w:t xml:space="preserve">no SIGADOC</w:t>
      </w:r>
      <w:r w:rsidDel="00000000" w:rsidR="00000000" w:rsidRPr="00000000">
        <w:rPr>
          <w:color w:val="1f1f1f"/>
          <w:sz w:val="24"/>
          <w:szCs w:val="24"/>
          <w:highlight w:val="white"/>
          <w:rtl w:val="0"/>
        </w:rPr>
        <w:t xml:space="preserve"> - Para facilitar a assinatura pela autoridade instauradora, a portaria de instauração </w:t>
      </w:r>
      <w:r w:rsidDel="00000000" w:rsidR="00000000" w:rsidRPr="00000000">
        <w:rPr>
          <w:b w:val="1"/>
          <w:bCs w:val="1"/>
          <w:color w:val="1f1f1f"/>
          <w:sz w:val="24"/>
          <w:szCs w:val="24"/>
          <w:highlight w:val="white"/>
          <w:rtl w:val="0"/>
        </w:rPr>
        <w:t xml:space="preserve">poderá</w:t>
      </w:r>
      <w:r w:rsidDel="00000000" w:rsidR="00000000" w:rsidRPr="00000000">
        <w:rPr>
          <w:color w:val="1f1f1f"/>
          <w:sz w:val="24"/>
          <w:szCs w:val="24"/>
          <w:highlight w:val="white"/>
          <w:rtl w:val="0"/>
        </w:rPr>
        <w:t xml:space="preserve"> ser assinada no Sigadoc, conforme procedimentos a seguir:</w:t>
      </w:r>
    </w:p>
    <w:p w:rsidR="00000000" w:rsidDel="00000000" w:rsidP="00000000" w:rsidRDefault="00000000" w:rsidRPr="00000000" w14:paraId="00000014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before="0" w:beforeAutospacing="0" w:lineRule="auto"/>
        <w:ind w:left="2160" w:hanging="36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color w:val="1f1f1f"/>
          <w:sz w:val="24"/>
          <w:szCs w:val="24"/>
          <w:highlight w:val="white"/>
          <w:rtl w:val="0"/>
        </w:rPr>
        <w:t xml:space="preserve">Baixe a minuta de portaria elaborada pela CGE, e preencha os dados necessários;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before="0" w:beforeAutospacing="0" w:lineRule="auto"/>
        <w:ind w:left="2160" w:hanging="36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color w:val="1f1f1f"/>
          <w:sz w:val="24"/>
          <w:szCs w:val="24"/>
          <w:highlight w:val="white"/>
          <w:rtl w:val="0"/>
        </w:rPr>
        <w:t xml:space="preserve">Insira o arquivo no Sigadoc para assinatura da autoridade instauradora;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before="0" w:beforeAutospacing="0" w:lineRule="auto"/>
        <w:ind w:left="2160" w:hanging="36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color w:val="1f1f1f"/>
          <w:sz w:val="24"/>
          <w:szCs w:val="24"/>
          <w:highlight w:val="white"/>
          <w:rtl w:val="0"/>
        </w:rPr>
        <w:t xml:space="preserve">Após assinatura, providencie a publicação do extrato no DOE;</w:t>
      </w:r>
    </w:p>
    <w:p w:rsidR="00000000" w:rsidDel="00000000" w:rsidP="00000000" w:rsidRDefault="00000000" w:rsidRPr="00000000" w14:paraId="00000017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480" w:before="0" w:beforeAutospacing="0" w:lineRule="auto"/>
        <w:ind w:left="2160" w:hanging="36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color w:val="1f1f1f"/>
          <w:sz w:val="24"/>
          <w:szCs w:val="24"/>
          <w:highlight w:val="white"/>
          <w:rtl w:val="0"/>
        </w:rPr>
        <w:t xml:space="preserve">Junte no ePAD/PEC o arquivo com a portaria de instauração assinada e o comprovante de publicação do extrato no DOE.(veja o </w:t>
      </w:r>
      <w:hyperlink r:id="rId7">
        <w:r w:rsidDel="00000000" w:rsidR="00000000" w:rsidRPr="00000000">
          <w:rPr>
            <w:b w:val="1"/>
            <w:bCs w:val="1"/>
            <w:color w:val="1155cc"/>
            <w:sz w:val="24"/>
            <w:szCs w:val="24"/>
            <w:highlight w:val="white"/>
            <w:u w:val="single"/>
            <w:rtl w:val="0"/>
          </w:rPr>
          <w:t xml:space="preserve">GUIA PRÁTICO:  Inclusão de ANEXOS e PEÇAS</w:t>
        </w:r>
      </w:hyperlink>
      <w:r w:rsidDel="00000000" w:rsidR="00000000" w:rsidRPr="00000000">
        <w:rPr>
          <w:color w:val="1f1f1f"/>
          <w:sz w:val="24"/>
          <w:szCs w:val="24"/>
          <w:highlight w:val="white"/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firstLine="720"/>
        <w:jc w:val="both"/>
        <w:rPr>
          <w:color w:val="1f1f1f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color w:val="1f1f1f"/>
          <w:sz w:val="24"/>
          <w:szCs w:val="24"/>
          <w:highlight w:val="white"/>
          <w:rtl w:val="0"/>
        </w:rPr>
        <w:t xml:space="preserve">II. Procedimentos pós Instauração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40" w:before="240" w:lineRule="auto"/>
        <w:ind w:left="720" w:hanging="36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color w:val="1f1f1f"/>
          <w:sz w:val="24"/>
          <w:szCs w:val="24"/>
          <w:highlight w:val="white"/>
          <w:rtl w:val="0"/>
        </w:rPr>
        <w:t xml:space="preserve">Vinculação do procedimento investigatório:</w:t>
      </w:r>
      <w:r w:rsidDel="00000000" w:rsidR="00000000" w:rsidRPr="00000000">
        <w:rPr>
          <w:color w:val="1f1f1f"/>
          <w:sz w:val="24"/>
          <w:szCs w:val="24"/>
          <w:highlight w:val="white"/>
          <w:rtl w:val="0"/>
        </w:rPr>
        <w:t xml:space="preserve"> Antes de enviar para a comissão, vincule ao processo acusatório o processo investigatório, por meio do botão “Processo Vinculados” (abaixo demonstrado).</w:t>
      </w:r>
    </w:p>
    <w:p w:rsidR="00000000" w:rsidDel="00000000" w:rsidP="00000000" w:rsidRDefault="00000000" w:rsidRPr="00000000" w14:paraId="0000001A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40" w:before="240" w:lineRule="auto"/>
        <w:ind w:left="720" w:firstLine="0"/>
        <w:jc w:val="both"/>
        <w:rPr>
          <w:color w:val="1f1f1f"/>
          <w:sz w:val="24"/>
          <w:szCs w:val="24"/>
          <w:highlight w:val="white"/>
        </w:rPr>
      </w:pPr>
      <w:r w:rsidDel="00000000" w:rsidR="00000000" w:rsidRPr="00000000">
        <w:rPr>
          <w:color w:val="1f1f1f"/>
          <w:sz w:val="24"/>
          <w:szCs w:val="24"/>
          <w:highlight w:val="white"/>
        </w:rPr>
        <w:drawing>
          <wp:inline distB="114300" distT="114300" distL="114300" distR="114300">
            <wp:extent cx="676275" cy="3133725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31337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1f1f1f"/>
          <w:sz w:val="24"/>
          <w:szCs w:val="24"/>
          <w:highlight w:val="white"/>
        </w:rPr>
        <w:drawing>
          <wp:inline distB="114300" distT="114300" distL="114300" distR="114300">
            <wp:extent cx="2705100" cy="6477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647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before="360" w:lineRule="auto"/>
        <w:jc w:val="both"/>
        <w:rPr>
          <w:color w:val="1f1f1f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color w:val="1f1f1f"/>
          <w:sz w:val="24"/>
          <w:szCs w:val="24"/>
          <w:highlight w:val="white"/>
          <w:rtl w:val="0"/>
        </w:rPr>
        <w:t xml:space="preserve">DICA: </w:t>
      </w:r>
      <w:r w:rsidDel="00000000" w:rsidR="00000000" w:rsidRPr="00000000">
        <w:rPr>
          <w:color w:val="1f1f1f"/>
          <w:sz w:val="24"/>
          <w:szCs w:val="24"/>
          <w:highlight w:val="white"/>
          <w:rtl w:val="0"/>
        </w:rPr>
        <w:t xml:space="preserve">Acesse os procedimentos/processos de origem por meio da ferramenta de Contexto.</w:t>
      </w:r>
    </w:p>
    <w:p w:rsidR="00000000" w:rsidDel="00000000" w:rsidP="00000000" w:rsidRDefault="00000000" w:rsidRPr="00000000" w14:paraId="0000001C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before="360" w:lineRule="auto"/>
        <w:ind w:left="1440" w:firstLine="0"/>
        <w:jc w:val="both"/>
        <w:rPr>
          <w:color w:val="1f1f1f"/>
          <w:sz w:val="24"/>
          <w:szCs w:val="24"/>
          <w:highlight w:val="white"/>
        </w:rPr>
      </w:pPr>
      <w:r w:rsidDel="00000000" w:rsidR="00000000" w:rsidRPr="00000000">
        <w:rPr>
          <w:color w:val="1f1f1f"/>
          <w:sz w:val="24"/>
          <w:szCs w:val="24"/>
          <w:highlight w:val="white"/>
        </w:rPr>
        <w:drawing>
          <wp:inline distB="114300" distT="114300" distL="114300" distR="114300">
            <wp:extent cx="2457450" cy="571500"/>
            <wp:effectExtent b="0" l="0" r="0" t="0"/>
            <wp:docPr id="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571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 w:before="240" w:lineRule="auto"/>
        <w:ind w:left="720" w:hanging="36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color w:val="1f1f1f"/>
          <w:sz w:val="24"/>
          <w:szCs w:val="24"/>
          <w:highlight w:val="white"/>
          <w:rtl w:val="0"/>
        </w:rPr>
        <w:t xml:space="preserve">Encaminhamento para a Comissão:</w:t>
      </w:r>
      <w:r w:rsidDel="00000000" w:rsidR="00000000" w:rsidRPr="00000000">
        <w:rPr>
          <w:color w:val="1f1f1f"/>
          <w:sz w:val="24"/>
          <w:szCs w:val="24"/>
          <w:highlight w:val="white"/>
          <w:rtl w:val="0"/>
        </w:rPr>
        <w:t xml:space="preserve"> A comissão disciplinar é considerada designada com a publicação da portaria inaugural (a mesma portaria de instauração do feito disciplinar). A partir desse momento, a comissão passa a existir e o prazo para a apuração começa a correr. Assim, é necessário encaminhar o processo para a comissão no sistema ePAD: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before="0" w:beforeAutospacing="0" w:lineRule="auto"/>
        <w:ind w:left="1440" w:hanging="360"/>
        <w:jc w:val="both"/>
        <w:rPr>
          <w:rFonts w:ascii="Arial" w:cs="Arial" w:eastAsia="Arial" w:hAnsi="Arial"/>
          <w:sz w:val="24"/>
          <w:szCs w:val="24"/>
          <w:highlight w:val="white"/>
        </w:rPr>
      </w:pPr>
      <w:r w:rsidDel="00000000" w:rsidR="00000000" w:rsidRPr="00000000">
        <w:rPr>
          <w:color w:val="1f1f1f"/>
          <w:sz w:val="24"/>
          <w:szCs w:val="24"/>
          <w:highlight w:val="white"/>
          <w:rtl w:val="0"/>
        </w:rPr>
        <w:t xml:space="preserve">Na tela do procedimento, clique no botão “Encaminhar para Comissão”.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before="0" w:beforeAutospacing="0" w:lineRule="auto"/>
        <w:ind w:left="1440" w:hanging="360"/>
        <w:jc w:val="both"/>
        <w:rPr>
          <w:rFonts w:ascii="Arial" w:cs="Arial" w:eastAsia="Arial" w:hAnsi="Arial"/>
          <w:sz w:val="24"/>
          <w:szCs w:val="24"/>
          <w:highlight w:val="white"/>
        </w:rPr>
      </w:pPr>
      <w:r w:rsidDel="00000000" w:rsidR="00000000" w:rsidRPr="00000000">
        <w:rPr>
          <w:color w:val="1f1f1f"/>
          <w:sz w:val="24"/>
          <w:szCs w:val="24"/>
          <w:highlight w:val="white"/>
          <w:rtl w:val="0"/>
        </w:rPr>
        <w:t xml:space="preserve">O sistema mudará a situação do procedimento para “em apuração - instrução”.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Roboto" w:cs="Roboto" w:eastAsia="Roboto" w:hAnsi="Roboto"/>
        <w:color w:val="1f1f1f"/>
        <w:sz w:val="21"/>
        <w:szCs w:val="21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Roboto" w:cs="Roboto" w:eastAsia="Roboto" w:hAnsi="Roboto"/>
        <w:color w:val="1f1f1f"/>
        <w:sz w:val="21"/>
        <w:szCs w:val="21"/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Roboto" w:cs="Roboto" w:eastAsia="Roboto" w:hAnsi="Roboto"/>
        <w:color w:val="1f1f1f"/>
        <w:sz w:val="21"/>
        <w:szCs w:val="21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ind w:left="720" w:firstLine="0"/>
    </w:pPr>
    <w:rPr>
      <w:b w:val="1"/>
      <w:bCs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image" Target="media/image3.png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hyperlink" Target="https://docs.google.com/document/d/1ntFvf07DKt3JY5OhjEiNUSpVf6_RPyG0GLicQzGCcz4/edit?tab=t.0" TargetMode="External"/><Relationship Id="rId7" Type="http://schemas.openxmlformats.org/officeDocument/2006/relationships/hyperlink" Target="https://docs.google.com/document/d/1ntFvf07DKt3JY5OhjEiNUSpVf6_RPyG0GLicQzGCcz4/edit?tab=t.0" TargetMode="External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