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5kweckm3y06u" w:id="0"/>
      <w:bookmarkEnd w:id="0"/>
      <w:r w:rsidDel="00000000" w:rsidR="00000000" w:rsidRPr="00000000">
        <w:rPr>
          <w:b w:val="0"/>
          <w:bCs w:val="0"/>
          <w:rtl w:val="0"/>
        </w:rPr>
        <w:t xml:space="preserve">🛠️ </w:t>
      </w:r>
      <w:r w:rsidDel="00000000" w:rsidR="00000000" w:rsidRPr="00000000">
        <w:rPr>
          <w:rtl w:val="0"/>
        </w:rPr>
        <w:t xml:space="preserve">GUIA PRÁTICO: Inclusão de ANEXOS e PEÇAS </w:t>
      </w:r>
    </w:p>
    <w:p w:rsidR="00000000" w:rsidDel="00000000" w:rsidP="00000000" w:rsidRDefault="00000000" w:rsidRPr="00000000" w14:paraId="00000002">
      <w:pPr>
        <w:rPr>
          <w:highlight w:val="re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731200" cy="2603500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603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ePAD permite a inclusão e exclusão de anexos e de peças. Esses documentos podem ter sido importados do CGU-PAD, como também podem ser adicionados ao longo da apuração e até mesmo, após o julgamento.  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Ao clicar no item de menu “Anexos e peças”, o sistema: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Apresenta os anexos e as peças já associados;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Permite a adição de novos anexos/peça externa e peças ePAD;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Permite o envio dos anexos e das peças para o PEC (Processo Eletrônico Correcional).</w:t>
      </w:r>
    </w:p>
    <w:p w:rsidR="00000000" w:rsidDel="00000000" w:rsidP="00000000" w:rsidRDefault="00000000" w:rsidRPr="00000000" w14:paraId="0000000B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jc w:val="both"/>
        <w:rPr/>
      </w:pPr>
      <w:bookmarkStart w:colFirst="0" w:colLast="0" w:name="_7thhkckqr6vc" w:id="1"/>
      <w:bookmarkEnd w:id="1"/>
      <w:r w:rsidDel="00000000" w:rsidR="00000000" w:rsidRPr="00000000">
        <w:rPr>
          <w:b w:val="1"/>
          <w:bCs w:val="1"/>
          <w:rtl w:val="0"/>
        </w:rPr>
        <w:t xml:space="preserve">Inclusão de anexos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Ao clicar em “+ Novo”, selecionar a opção “Anexos/Peça externa”. O sistema solicitará: 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Escolha se trata de um “Anexo” ou de uma “Peça externa”;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Descrição do documento;  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Tipo de documento (escolher uma opção da lista); 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Data do documento. 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Ao clicar em “Selecionar Arquivo”, o sistema apresenta interface para a seleção do arquivo no computador;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 for uma 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peça externa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ainda não assinada, informar o CPF do(s) usuário(s) para assinatura;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Documentos já assinados em outro sistema (por exemplo Sigadoc), não precisam ser assinados no ePAD/PEC. Eles devem ser inseridos como “Anexo”.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Deve-se escolher se o anexo/peça já será enviado ao PEC (Processo Eletrônico Correcional) ou não. Ressalta-se que o documento poderá ser enviado em outro momento.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Ao clicar em “Salvar”, o sistema realiza a associação do anexo à admissibilidade/procedimento investigativo. E se no item anterior for escolhido “Sim”, após salvar, o documento será enviado automaticamente para o PEC. </w:t>
      </w:r>
    </w:p>
    <w:p w:rsidR="00000000" w:rsidDel="00000000" w:rsidP="00000000" w:rsidRDefault="00000000" w:rsidRPr="00000000" w14:paraId="00000017">
      <w:pP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626100" cy="2197100"/>
            <wp:effectExtent b="0" l="0" r="0" t="0"/>
            <wp:docPr descr="apodu " id="1" name="image2.png"/>
            <a:graphic>
              <a:graphicData uri="http://schemas.openxmlformats.org/drawingml/2006/picture">
                <pic:pic>
                  <pic:nvPicPr>
                    <pic:cNvPr descr="apodu "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0" cy="2197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1"/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  <w:jc w:val="both"/>
      </w:pPr>
      <w:bookmarkStart w:colFirst="0" w:colLast="0" w:name="_rayfxb1azduu" w:id="2"/>
      <w:bookmarkEnd w:id="2"/>
      <w:r w:rsidDel="00000000" w:rsidR="00000000" w:rsidRPr="00000000">
        <w:rPr>
          <w:rtl w:val="0"/>
        </w:rPr>
        <w:t xml:space="preserve">Inclusão de peças ePAD </w:t>
      </w:r>
    </w:p>
    <w:p w:rsidR="00000000" w:rsidDel="00000000" w:rsidP="00000000" w:rsidRDefault="00000000" w:rsidRPr="00000000" w14:paraId="0000001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rtl w:val="0"/>
        </w:rPr>
        <w:t xml:space="preserve">Ao clicar em “+ Novo”, selecionar a opção “Peça ePAD”.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O sistema apresentará a tela de geração de peças: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sistema apresentará pop-up para escolher o tipo da peça;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 seguida são será disponibilizado para seleção o Modelo da Peça de acordo com o tipo selecionado;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 sequência, o sistema permitirá o preenchimento dos campos disponíveis nas Informações Adicionais, de acordo com o Modelo de Peça selecionado;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usuário pode ver uma prévia do documento, clicando em “Prévia”;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Por f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im, deve-se clicar em “Gerar Peça”.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1080" w:right="0" w:hanging="360"/>
        <w:jc w:val="left"/>
        <w:rPr>
          <w:sz w:val="24"/>
          <w:szCs w:val="24"/>
          <w:highlight w:val="white"/>
          <w:u w:val="non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No browser, o sistema apresentará uma nova guia com a peça gerada; </w:t>
      </w:r>
    </w:p>
    <w:p w:rsidR="00000000" w:rsidDel="00000000" w:rsidP="00000000" w:rsidRDefault="00000000" w:rsidRPr="00000000" w14:paraId="00000020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</w:rPr>
        <w:drawing>
          <wp:inline distB="114300" distT="114300" distL="114300" distR="114300">
            <wp:extent cx="5731200" cy="660400"/>
            <wp:effectExtent b="0" l="0" r="0" t="0"/>
            <wp:docPr descr="Exportar para o Word &#10;Exportar para o SEI &#10;Editar &#10;NOTA TÉCNICA &#10;Assinatura gov.br &#10;Fechar " id="2" name="image1.png"/>
            <a:graphic>
              <a:graphicData uri="http://schemas.openxmlformats.org/drawingml/2006/picture">
                <pic:pic>
                  <pic:nvPicPr>
                    <pic:cNvPr descr="Exportar para o Word &#10;Exportar para o SEI &#10;Editar &#10;NOTA TÉCNICA &#10;Assinatura gov.br &#10;Fechar 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660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   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usuário pode clicar nos botões para “Exportar para o Word”, "Editar" e "Assinatura gov.br"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Ao clicar em "Editar" é possível editar/formatar o conteúdo da peça;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usuário deve clicar em “Fechar” para encerrar a guia do browser;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 guia do browser onde está a tela de geração de peças, clicar no ícone da Matri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z de Responsabilização para voltar a tela da matriz.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b w:val="1"/>
          <w:bCs w:val="1"/>
          <w:rtl w:val="0"/>
        </w:rPr>
        <w:t xml:space="preserve">Minuta de PEÇAS inseridas pela CGE</w:t>
      </w:r>
      <w:r w:rsidDel="00000000" w:rsidR="00000000" w:rsidRPr="00000000">
        <w:rPr>
          <w:rtl w:val="0"/>
        </w:rPr>
        <w:t xml:space="preserve">: </w:t>
      </w:r>
      <w:hyperlink r:id="rId9">
        <w:r w:rsidDel="00000000" w:rsidR="00000000" w:rsidRPr="00000000">
          <w:rPr>
            <w:color w:val="1155cc"/>
            <w:sz w:val="24"/>
            <w:szCs w:val="24"/>
            <w:highlight w:val="white"/>
            <w:u w:val="single"/>
            <w:rtl w:val="0"/>
          </w:rPr>
          <w:t xml:space="preserve">Relação de Modelo de Peças</w:t>
        </w:r>
      </w:hyperlink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left"/>
        <w:rPr>
          <w:color w:val="333333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1"/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jc w:val="both"/>
        <w:rPr/>
      </w:pPr>
      <w:bookmarkStart w:colFirst="0" w:colLast="0" w:name="_mzsdyfyhogwo" w:id="3"/>
      <w:bookmarkEnd w:id="3"/>
      <w:r w:rsidDel="00000000" w:rsidR="00000000" w:rsidRPr="00000000">
        <w:rPr>
          <w:rtl w:val="0"/>
        </w:rPr>
        <w:t xml:space="preserve">Envio de anexos para o PEC</w:t>
      </w:r>
    </w:p>
    <w:p w:rsidR="00000000" w:rsidDel="00000000" w:rsidP="00000000" w:rsidRDefault="00000000" w:rsidRPr="00000000" w14:paraId="0000002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Ao selecionar um ou mais arquivos (checkbox), deve-se clicar no botão "Enviar para o PEC", assim, o sistema apresentará tela com a listagem dos arquivos selecionados e com a possibilidade de ajustar a ordem (utilizando as setas ao lado de cada anexo) para envio ao PEC. Por fim, deve-se clicar no botão "Enviar para o PEC" dessa nova tela. </w:t>
      </w:r>
    </w:p>
    <w:p w:rsidR="00000000" w:rsidDel="00000000" w:rsidP="00000000" w:rsidRDefault="00000000" w:rsidRPr="00000000" w14:paraId="0000002A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DICA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: Ver a </w:t>
      </w:r>
      <w:hyperlink r:id="rId10">
        <w:r w:rsidDel="00000000" w:rsidR="00000000" w:rsidRPr="00000000">
          <w:rPr>
            <w:b w:val="1"/>
            <w:bCs w:val="1"/>
            <w:color w:val="1155cc"/>
            <w:sz w:val="24"/>
            <w:szCs w:val="24"/>
            <w:highlight w:val="white"/>
            <w:u w:val="single"/>
            <w:rtl w:val="0"/>
          </w:rPr>
          <w:t xml:space="preserve">NOTA TÉCNICA Nº 00004/2025/SRAP/CGE</w:t>
        </w:r>
      </w:hyperlink>
      <w:r w:rsidDel="00000000" w:rsidR="00000000" w:rsidRPr="00000000">
        <w:rPr>
          <w:sz w:val="24"/>
          <w:szCs w:val="24"/>
          <w:highlight w:val="white"/>
          <w:rtl w:val="0"/>
        </w:rPr>
        <w:t xml:space="preserve">, que trata do registro da obtenção e da guarda das evidências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ind w:left="720" w:firstLine="0"/>
    </w:pPr>
    <w:rPr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www.cge.mt.gov.br/documents/d/cge/cgentt202500004a" TargetMode="External"/><Relationship Id="rId9" Type="http://schemas.openxmlformats.org/officeDocument/2006/relationships/hyperlink" Target="https://docs.google.com/spreadsheets/d/1MIjD8lXg3VfL1ejcueJsLTGS06EHb627qLsx46PgEKw/edit?gid=0#gid=0" TargetMode="Externa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