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sz w:val="28"/>
          <w:szCs w:val="28"/>
        </w:rPr>
      </w:pPr>
      <w:bookmarkStart w:colFirst="0" w:colLast="0" w:name="_5kweckm3y06u" w:id="0"/>
      <w:bookmarkEnd w:id="0"/>
      <w:r w:rsidDel="00000000" w:rsidR="00000000" w:rsidRPr="00000000">
        <w:rPr>
          <w:b w:val="0"/>
          <w:bCs w:val="0"/>
          <w:sz w:val="28"/>
          <w:szCs w:val="28"/>
          <w:rtl w:val="0"/>
        </w:rPr>
        <w:t xml:space="preserve">🛠️ </w:t>
      </w:r>
      <w:r w:rsidDel="00000000" w:rsidR="00000000" w:rsidRPr="00000000">
        <w:rPr>
          <w:sz w:val="28"/>
          <w:szCs w:val="28"/>
          <w:rtl w:val="0"/>
        </w:rPr>
        <w:t xml:space="preserve">GUIA PRÁTICO: Roteiro para Cadastro de Notícia de Fato ou IPS </w:t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8"/>
        </w:numPr>
        <w:ind w:left="72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Para cadastrar uma nova admissibilidade/procedimento investigativo, é necessário entrar no Menu "Admissibilidade/Procedimento Investigativo" e em seguida clicar no botão “Iniciar Nova Análise"; </w:t>
      </w:r>
    </w:p>
    <w:p w:rsidR="00000000" w:rsidDel="00000000" w:rsidP="00000000" w:rsidRDefault="00000000" w:rsidRPr="00000000" w14:paraId="00000004">
      <w:pPr>
        <w:numPr>
          <w:ilvl w:val="0"/>
          <w:numId w:val="8"/>
        </w:numPr>
        <w:ind w:left="72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O sistema apresenta uma nova tela, já com o pop-up de “Demanda da suposta infração correcional” aberto; </w:t>
      </w:r>
    </w:p>
    <w:p w:rsidR="00000000" w:rsidDel="00000000" w:rsidP="00000000" w:rsidRDefault="00000000" w:rsidRPr="00000000" w14:paraId="00000005">
      <w:pPr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720" w:firstLine="0"/>
        <w:jc w:val="both"/>
        <w:rPr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Os campos abaixo devem ser cadastrados nesta tela: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Seção Origem da Demanda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Origem da demanda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a origem da demanda, conforme a listagem apresentada pelo sistema; 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Tipo de documento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Indicar o tipo de documento utilizado, conforme a listagem apresentada pelo sistema; 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Número do documento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Indicar o número do documento de origem; 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Data do documento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a data do documento de origem; 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36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Seção Informações Iniciais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Local de condução do processo correcional -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Indica se usará o PEC (ePAD) ou se o procedimento será conduzido em outro sistema (</w:t>
      </w:r>
      <w:r w:rsidDel="00000000" w:rsidR="00000000" w:rsidRPr="00000000">
        <w:rPr>
          <w:color w:val="ff0000"/>
          <w:sz w:val="24"/>
          <w:szCs w:val="24"/>
          <w:highlight w:val="white"/>
          <w:rtl w:val="0"/>
        </w:rPr>
        <w:t xml:space="preserve">isso não pode ser alterado depois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); </w:t>
      </w:r>
      <w:r w:rsidDel="00000000" w:rsidR="00000000" w:rsidRPr="00000000">
        <w:rPr>
          <w:b w:val="1"/>
          <w:bCs w:val="1"/>
          <w:color w:val="0000ff"/>
          <w:sz w:val="28"/>
          <w:szCs w:val="28"/>
          <w:highlight w:val="white"/>
          <w:rtl w:val="0"/>
        </w:rPr>
        <w:t xml:space="preserve">Escolher a opção PEC</w:t>
      </w:r>
      <w:r w:rsidDel="00000000" w:rsidR="00000000" w:rsidRPr="00000000">
        <w:rPr>
          <w:b w:val="1"/>
          <w:bCs w:val="1"/>
          <w:color w:val="85200c"/>
          <w:sz w:val="24"/>
          <w:szCs w:val="24"/>
          <w:highlight w:val="white"/>
          <w:rtl w:val="0"/>
        </w:rPr>
        <w:t xml:space="preserve">. </w:t>
      </w:r>
    </w:p>
    <w:p w:rsidR="00000000" w:rsidDel="00000000" w:rsidP="00000000" w:rsidRDefault="00000000" w:rsidRPr="00000000" w14:paraId="00000010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NUP/Identificador do processo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o NUP ou identificador de processo próprio para tratar a admissibilidade/procedimento investigativo.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Se escolher a opção 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“Automático”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o sistema vai gerar o número do processo;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Se escolher a opção 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“Informado”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, deve digitar 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número do processo Sigadoc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Tipo de análise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o tipo de acordo com a lista apresentada;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na Nota Técnica</w:t>
      </w:r>
      <w:r w:rsidDel="00000000" w:rsidR="00000000" w:rsidRPr="00000000">
        <w:rPr>
          <w:color w:val="85200c"/>
          <w:sz w:val="24"/>
          <w:szCs w:val="24"/>
          <w:highlight w:val="white"/>
          <w:rtl w:val="0"/>
        </w:rPr>
        <w:t xml:space="preserve">;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hanging="360"/>
        <w:jc w:val="both"/>
        <w:rPr>
          <w:sz w:val="24"/>
          <w:szCs w:val="24"/>
          <w:highlight w:val="white"/>
          <w:u w:val="non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Se estiver cadastrando uma notícia de fato/denúncia, e escolher a opção 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“Análise Inicial de Admissibilidade”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600" w:hanging="36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Se estiver cadastrando uma IPS </w:t>
      </w:r>
      <w:r w:rsidDel="00000000" w:rsidR="00000000" w:rsidRPr="00000000">
        <w:rPr>
          <w:sz w:val="24"/>
          <w:szCs w:val="24"/>
          <w:highlight w:val="white"/>
          <w:u w:val="single"/>
          <w:rtl w:val="0"/>
        </w:rPr>
        <w:t xml:space="preserve">já instaurada no Sigadoc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, escolher a opção 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“Investigação Preliminar Sumária (IPS)”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firstLine="0"/>
        <w:jc w:val="both"/>
        <w:rPr>
          <w:color w:val="85200c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Prioridade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se há alguma prioridade; </w:t>
      </w:r>
    </w:p>
    <w:p w:rsidR="00000000" w:rsidDel="00000000" w:rsidP="00000000" w:rsidRDefault="00000000" w:rsidRPr="00000000" w14:paraId="00000018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Acesso restrito a membros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se somente os membros terão acesso à análise; </w:t>
      </w:r>
    </w:p>
    <w:p w:rsidR="00000000" w:rsidDel="00000000" w:rsidP="00000000" w:rsidRDefault="00000000" w:rsidRPr="00000000" w14:paraId="00000019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Objeto para apuração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Descrever de maneira sucinta a demanda, ou seja, o objeto para apuração (</w:t>
      </w:r>
      <w:r w:rsidDel="00000000" w:rsidR="00000000" w:rsidRPr="00000000">
        <w:rPr>
          <w:b w:val="1"/>
          <w:bCs w:val="1"/>
          <w:color w:val="ff0000"/>
          <w:sz w:val="26"/>
          <w:szCs w:val="26"/>
          <w:highlight w:val="white"/>
          <w:u w:val="single"/>
          <w:rtl w:val="0"/>
        </w:rPr>
        <w:t xml:space="preserve">não é a descrição do fato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).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é utilizado como primeiro parágrafo na Nota Técnica;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Data ou período da suposta irregularidade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Indicar a data ou o período em que ocorreu a suposta irregularidade; </w:t>
      </w:r>
    </w:p>
    <w:p w:rsidR="00000000" w:rsidDel="00000000" w:rsidP="00000000" w:rsidRDefault="00000000" w:rsidRPr="00000000" w14:paraId="0000001B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Abrangência da análise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se a análise envolve agentes públicos, entes privados ou ambos. É obrigatório indicar ao menos um tipo: agente ou ente. 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firstLine="720"/>
        <w:jc w:val="both"/>
        <w:rPr>
          <w:b w:val="1"/>
          <w:bCs w:val="1"/>
          <w:sz w:val="24"/>
          <w:szCs w:val="24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u w:val="single"/>
          <w:rtl w:val="0"/>
        </w:rPr>
        <w:t xml:space="preserve">Agentes Públicos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campos a serem informados:</w:t>
      </w:r>
    </w:p>
    <w:p w:rsidR="00000000" w:rsidDel="00000000" w:rsidP="00000000" w:rsidRDefault="00000000" w:rsidRPr="00000000" w14:paraId="0000001E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60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Data de início da contagem do prazo prescricional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 –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a data de início da contagem do prazo prescricional; </w:t>
      </w:r>
    </w:p>
    <w:p w:rsidR="00000000" w:rsidDel="00000000" w:rsidP="00000000" w:rsidRDefault="00000000" w:rsidRPr="00000000" w14:paraId="0000001F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60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O início da contagem prescricional para o caso em análise decorre de -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Esclarecer o início da contagem do prazo prescricional (Indicar o documento/página em que se encontra registrado o conhecimento do fato pela autoridade). </w:t>
      </w:r>
      <w:r w:rsidDel="00000000" w:rsidR="00000000" w:rsidRPr="00000000">
        <w:rPr>
          <w:i w:val="1"/>
          <w:iCs w:val="1"/>
          <w:color w:val="333333"/>
          <w:sz w:val="24"/>
          <w:szCs w:val="24"/>
          <w:highlight w:val="white"/>
          <w:rtl w:val="0"/>
        </w:rPr>
        <w:t xml:space="preserve">Caso a autoridade ainda não tenha tomado ciência, indicar a data de entrada na Unidade Setorial de Correição, fazer essa ressalva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;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 Esse campo será utilizado na Nota Técnica; 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firstLine="72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u w:val="single"/>
          <w:rtl w:val="0"/>
        </w:rPr>
        <w:t xml:space="preserve">Entes privados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campos a serem informados: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Data de início da contagem do prazo prescricional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 –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a data de início da contagem do prazo prescricional;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O início da contagem prescricional para o caso em análise decorre de -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Esclarecer o início da contagem do prazo prescricional (Indicar o documento/página em que se encontra registrado o conhecimento do fato pela autoridade). </w:t>
      </w:r>
      <w:r w:rsidDel="00000000" w:rsidR="00000000" w:rsidRPr="00000000">
        <w:rPr>
          <w:i w:val="1"/>
          <w:iCs w:val="1"/>
          <w:color w:val="333333"/>
          <w:sz w:val="24"/>
          <w:szCs w:val="24"/>
          <w:highlight w:val="white"/>
          <w:rtl w:val="0"/>
        </w:rPr>
        <w:t xml:space="preserve">Caso a autoridade ainda não tenha tomado ciência, indicar a data de entrada na Unidade Setorial de Correição, fazer essa ressalva;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Esse campo será utilizado na Nota Técnica; 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Data da prescrição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Indicar a data da prescrição;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Legislação de Base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Indicar a legislação base da sanção;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Categoria da Sanção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- Indicar a categoria da sanção de acordo com a legislação selecionada;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Sanção a prescrever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– Indicar a sanção que irá servir de base para prescrição;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3600" w:right="0" w:hanging="36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highlight w:val="white"/>
          <w:rtl w:val="0"/>
        </w:rPr>
        <w:t xml:space="preserve">Há outra análise prescricional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Informar se há outra análise prescricional. Em caso positivo, o sistema apresenta novo bloco com os mesmos campos acima para entes privados 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Observações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Registrar observações sobre a admissibilidade/procedimento investigativo. (</w:t>
      </w:r>
      <w:r w:rsidDel="00000000" w:rsidR="00000000" w:rsidRPr="00000000">
        <w:rPr>
          <w:color w:val="ff0000"/>
          <w:sz w:val="24"/>
          <w:szCs w:val="24"/>
          <w:highlight w:val="white"/>
          <w:rtl w:val="0"/>
        </w:rPr>
        <w:t xml:space="preserve">Facultativo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)</w:t>
      </w:r>
    </w:p>
    <w:p w:rsidR="00000000" w:rsidDel="00000000" w:rsidP="00000000" w:rsidRDefault="00000000" w:rsidRPr="00000000" w14:paraId="0000002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36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Seção Ato Instaurador (preenchimento necessário a depender do tipo de análise)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No caso de IPS, registrar as informações da OSC.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Tipo do ato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o tipo do ato instaurador </w:t>
      </w:r>
    </w:p>
    <w:p w:rsidR="00000000" w:rsidDel="00000000" w:rsidP="00000000" w:rsidRDefault="00000000" w:rsidRPr="00000000" w14:paraId="0000002D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Número do ato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o número do ato instaurador </w:t>
      </w:r>
    </w:p>
    <w:p w:rsidR="00000000" w:rsidDel="00000000" w:rsidP="00000000" w:rsidRDefault="00000000" w:rsidRPr="00000000" w14:paraId="0000002E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Data do ato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a data do ato instaurador </w:t>
      </w:r>
    </w:p>
    <w:p w:rsidR="00000000" w:rsidDel="00000000" w:rsidP="00000000" w:rsidRDefault="00000000" w:rsidRPr="00000000" w14:paraId="0000002F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Data da publicação (data da instauração)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a data de início/instauração do procedimento</w:t>
      </w:r>
    </w:p>
    <w:p w:rsidR="00000000" w:rsidDel="00000000" w:rsidP="00000000" w:rsidRDefault="00000000" w:rsidRPr="00000000" w14:paraId="00000030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Meio de publicação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o meio de publicação do ato instaurador (</w:t>
      </w:r>
      <w:r w:rsidDel="00000000" w:rsidR="00000000" w:rsidRPr="00000000">
        <w:rPr>
          <w:color w:val="ff0000"/>
          <w:sz w:val="24"/>
          <w:szCs w:val="24"/>
          <w:highlight w:val="white"/>
          <w:rtl w:val="0"/>
        </w:rPr>
        <w:t xml:space="preserve">Facultativo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)</w:t>
      </w:r>
    </w:p>
    <w:p w:rsidR="00000000" w:rsidDel="00000000" w:rsidP="00000000" w:rsidRDefault="00000000" w:rsidRPr="00000000" w14:paraId="00000031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Localização/link de publicação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Informar a localização ou link da publicação do ato instaurador (</w:t>
      </w:r>
      <w:r w:rsidDel="00000000" w:rsidR="00000000" w:rsidRPr="00000000">
        <w:rPr>
          <w:color w:val="ff0000"/>
          <w:sz w:val="24"/>
          <w:szCs w:val="24"/>
          <w:highlight w:val="white"/>
          <w:rtl w:val="0"/>
        </w:rPr>
        <w:t xml:space="preserve">Facultativo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)</w:t>
      </w:r>
    </w:p>
    <w:p w:rsidR="00000000" w:rsidDel="00000000" w:rsidP="00000000" w:rsidRDefault="00000000" w:rsidRPr="00000000" w14:paraId="0000003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36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Seção Comissão/Responsáveis (preenchimento necessário a depender do tipo de análise)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- </w:t>
      </w:r>
      <w:r w:rsidDel="00000000" w:rsidR="00000000" w:rsidRPr="00000000">
        <w:rPr>
          <w:color w:val="85200c"/>
          <w:sz w:val="24"/>
          <w:szCs w:val="24"/>
          <w:highlight w:val="white"/>
          <w:u w:val="single"/>
          <w:rtl w:val="0"/>
        </w:rPr>
        <w:t xml:space="preserve">No caso de IPS, registrar as informações do responsável pela investigação.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Subseção Membros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2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60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CPF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o CPF do membro </w:t>
      </w:r>
    </w:p>
    <w:p w:rsidR="00000000" w:rsidDel="00000000" w:rsidP="00000000" w:rsidRDefault="00000000" w:rsidRPr="00000000" w14:paraId="00000036">
      <w:pPr>
        <w:numPr>
          <w:ilvl w:val="2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60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Tipo de membro -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Indicar o tipo de membro </w:t>
      </w:r>
    </w:p>
    <w:p w:rsidR="00000000" w:rsidDel="00000000" w:rsidP="00000000" w:rsidRDefault="00000000" w:rsidRPr="00000000" w14:paraId="00000037">
      <w:pPr>
        <w:numPr>
          <w:ilvl w:val="2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600" w:hanging="360"/>
        <w:jc w:val="both"/>
        <w:rPr>
          <w:sz w:val="24"/>
          <w:szCs w:val="24"/>
          <w:highlight w:val="white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Obs.: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Os demais campos (nome, cargo, matrícula e email serão obtidos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automaticamente a partir do CPF informado)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52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Subseção Autoridade Instauradora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numPr>
          <w:ilvl w:val="2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360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Autoridade instauradora: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Selecionar uma das autoridades cadastradas na corregedoria responsável ou escolher a opção “Outros” e informar o nome e o cargo da autoridade instauradora.</w:t>
      </w:r>
    </w:p>
    <w:p w:rsidR="00000000" w:rsidDel="00000000" w:rsidP="00000000" w:rsidRDefault="00000000" w:rsidRPr="00000000" w14:paraId="0000003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Seção Considerações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(</w:t>
      </w:r>
      <w:r w:rsidDel="00000000" w:rsidR="00000000" w:rsidRPr="00000000">
        <w:rPr>
          <w:color w:val="ff0000"/>
          <w:sz w:val="24"/>
          <w:szCs w:val="24"/>
          <w:highlight w:val="white"/>
          <w:rtl w:val="0"/>
        </w:rPr>
        <w:t xml:space="preserve">Facultativo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)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Contextualização do objeto/breve histórico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– Indicar um breve histórico do procedimento; 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880" w:hanging="360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Considerações finais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– Indicar algumas considerações sobre o procedimento.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color="auto" w:space="0" w:sz="0" w:val="none"/>
          <w:left w:space="0" w:sz="0" w:val="nil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76" w:lineRule="auto"/>
        <w:ind w:left="720" w:right="0" w:firstLine="0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432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504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576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648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720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792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864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936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Verdana" w:cs="Verdana" w:eastAsia="Verdana" w:hAnsi="Verdana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)"/>
      <w:lvlJc w:val="left"/>
      <w:pPr>
        <w:ind w:left="360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432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504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576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648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720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792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864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936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Verdana" w:cs="Verdana" w:eastAsia="Verdana" w:hAnsi="Verdana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Verdana" w:cs="Verdana" w:eastAsia="Verdana" w:hAnsi="Verdana"/>
        <w:sz w:val="22"/>
        <w:szCs w:val="22"/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rFonts w:ascii="Verdana" w:cs="Verdana" w:eastAsia="Verdana" w:hAnsi="Verdana"/>
        <w:sz w:val="22"/>
        <w:szCs w:val="22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Verdana" w:cs="Verdana" w:eastAsia="Verdana" w:hAnsi="Verdana"/>
        <w:sz w:val="22"/>
        <w:szCs w:val="22"/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rFonts w:ascii="Verdana" w:cs="Verdana" w:eastAsia="Verdana" w:hAnsi="Verdana"/>
        <w:sz w:val="22"/>
        <w:szCs w:val="22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Verdana" w:cs="Verdana" w:eastAsia="Verdana" w:hAnsi="Verdana"/>
        <w:sz w:val="16"/>
        <w:szCs w:val="16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Verdana" w:cs="Verdana" w:eastAsia="Verdana" w:hAnsi="Verdana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ind w:left="720" w:firstLine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